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4BA4">
      <w:pPr>
        <w:spacing w:line="360" w:lineRule="auto"/>
        <w:jc w:val="center"/>
        <w:rPr>
          <w:rFonts w:ascii="Times New Roman" w:hAnsi="Times New Roman" w:eastAsia="微软雅黑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微软雅黑" w:cs="Times New Roman"/>
          <w:sz w:val="28"/>
          <w:szCs w:val="28"/>
          <w:highlight w:val="none"/>
        </w:rPr>
        <w:t>计算智能与信号处理教育部重点实验室</w:t>
      </w:r>
    </w:p>
    <w:p w14:paraId="7B026B1F">
      <w:pPr>
        <w:spacing w:line="360" w:lineRule="auto"/>
        <w:jc w:val="center"/>
        <w:rPr>
          <w:rFonts w:ascii="Times New Roman" w:hAnsi="Times New Roman" w:eastAsia="微软雅黑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微软雅黑" w:cs="Times New Roman"/>
          <w:sz w:val="28"/>
          <w:szCs w:val="28"/>
          <w:highlight w:val="none"/>
        </w:rPr>
        <w:t>开放课题管理办法</w:t>
      </w:r>
    </w:p>
    <w:p w14:paraId="12775F4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了充分发挥教育部重点实验室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highlight w:val="none"/>
        </w:rPr>
        <w:t>的作用，促进科研合作和学术交流，安徽大学计算智能与信号处理教育部重点实验室</w:t>
      </w:r>
      <w:r>
        <w:rPr>
          <w:rFonts w:ascii="Times New Roman" w:hAnsi="Times New Roman" w:eastAsia="宋体" w:cs="Times New Roman"/>
          <w:sz w:val="24"/>
          <w:highlight w:val="none"/>
        </w:rPr>
        <w:t>（简称实验室）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本着“开放、流动、合作、竞争”的运行机制设立开放课题，支持计算智能与信号智能领域相关基础研究。</w:t>
      </w:r>
    </w:p>
    <w:p w14:paraId="29473D17">
      <w:pPr>
        <w:numPr>
          <w:ilvl w:val="0"/>
          <w:numId w:val="1"/>
        </w:numPr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课题申请与立项</w:t>
      </w:r>
    </w:p>
    <w:p w14:paraId="402EF830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第一条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项目资助范围：计算智能与信号处理领域。</w:t>
      </w:r>
    </w:p>
    <w:p w14:paraId="6B1D43D6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第二条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申请应当具备以下条件：</w:t>
      </w:r>
    </w:p>
    <w:p w14:paraId="1E87C8E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1.研究内容符合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开放课题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的资助范围，申请手续完备，申报材料真实、规范； </w:t>
      </w:r>
    </w:p>
    <w:p w14:paraId="4FB735C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申请人须具有博士学位，具有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讲师及以上职称，且具备扎实的研究基础，在计算智能与信号处理领域已取得阶段性科研成果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；</w:t>
      </w:r>
    </w:p>
    <w:p w14:paraId="73B9AE7B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3.申请人需联系实验室一名具有高级职称的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研究人员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作为该课题的合作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者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；</w:t>
      </w:r>
    </w:p>
    <w:p w14:paraId="679E02E5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4</w:t>
      </w:r>
      <w:r>
        <w:rPr>
          <w:rFonts w:ascii="Times New Roman" w:hAnsi="Times New Roman" w:eastAsia="宋体" w:cs="Times New Roman"/>
          <w:sz w:val="24"/>
          <w:highlight w:val="none"/>
        </w:rPr>
        <w:t>.每位申请人当年度仅限主持申请一项本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课题</w:t>
      </w:r>
      <w:r>
        <w:rPr>
          <w:rFonts w:ascii="Times New Roman" w:hAnsi="Times New Roman" w:eastAsia="宋体" w:cs="Times New Roman"/>
          <w:sz w:val="24"/>
          <w:highlight w:val="none"/>
        </w:rPr>
        <w:t>；</w:t>
      </w:r>
    </w:p>
    <w:p w14:paraId="00E5AE52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5.与本实验室具有紧密合作的校外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研究人员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予以优先考虑。</w:t>
      </w:r>
    </w:p>
    <w:p w14:paraId="0C81CE0B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第三条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项目评审立项严格遵循“公开、公平、公正”原则，按照个人申请、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线上评审</w:t>
      </w:r>
      <w:r>
        <w:rPr>
          <w:rFonts w:ascii="Times New Roman" w:hAnsi="Times New Roman" w:eastAsia="宋体" w:cs="Times New Roman"/>
          <w:sz w:val="24"/>
          <w:highlight w:val="none"/>
        </w:rPr>
        <w:t>、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会议</w:t>
      </w:r>
      <w:r>
        <w:rPr>
          <w:rFonts w:ascii="Times New Roman" w:hAnsi="Times New Roman" w:eastAsia="宋体" w:cs="Times New Roman"/>
          <w:sz w:val="24"/>
          <w:highlight w:val="none"/>
        </w:rPr>
        <w:t>评审的程序进行。</w:t>
      </w:r>
    </w:p>
    <w:p w14:paraId="51A7D0D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第二章 职责</w:t>
      </w:r>
    </w:p>
    <w:p w14:paraId="2E042E36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第四条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实验室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开放课题管理人员</w:t>
      </w:r>
      <w:r>
        <w:rPr>
          <w:rFonts w:ascii="Times New Roman" w:hAnsi="Times New Roman" w:eastAsia="宋体" w:cs="Times New Roman"/>
          <w:sz w:val="24"/>
          <w:highlight w:val="none"/>
        </w:rPr>
        <w:t>主要任务：</w:t>
      </w:r>
    </w:p>
    <w:p w14:paraId="716DA07C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1.组织符合条件的教师申请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开放课题</w:t>
      </w:r>
      <w:r>
        <w:rPr>
          <w:rFonts w:ascii="Times New Roman" w:hAnsi="Times New Roman" w:eastAsia="宋体" w:cs="Times New Roman"/>
          <w:sz w:val="24"/>
          <w:highlight w:val="none"/>
        </w:rPr>
        <w:t>项目；</w:t>
      </w:r>
    </w:p>
    <w:p w14:paraId="01CE11A4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2.审核申请人所提交材料的真实性，并组织专家进行评审；</w:t>
      </w:r>
    </w:p>
    <w:p w14:paraId="003244CC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</w:t>
      </w:r>
      <w:r>
        <w:rPr>
          <w:rFonts w:ascii="Times New Roman" w:hAnsi="Times New Roman" w:eastAsia="宋体" w:cs="Times New Roman"/>
          <w:sz w:val="24"/>
          <w:highlight w:val="none"/>
        </w:rPr>
        <w:t>.对项目进行监督、检查。</w:t>
      </w:r>
    </w:p>
    <w:p w14:paraId="23860138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第五条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被资助者主要任务：</w:t>
      </w:r>
    </w:p>
    <w:p w14:paraId="66E997FD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1.制定项目进展计划及经费使用计划；</w:t>
      </w:r>
    </w:p>
    <w:p w14:paraId="2A78B39E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2.按要求积极配合实验室实施过程管理并及时反馈项目进展情况。</w:t>
      </w:r>
    </w:p>
    <w:p w14:paraId="6D807C3C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第六条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 xml:space="preserve"> 本实验室合作者主要任务：</w:t>
      </w:r>
    </w:p>
    <w:p w14:paraId="4A1744FE">
      <w:pPr>
        <w:spacing w:line="360" w:lineRule="auto"/>
        <w:ind w:firstLine="480"/>
        <w:jc w:val="left"/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1.积极与</w:t>
      </w:r>
      <w:r>
        <w:rPr>
          <w:rFonts w:ascii="Times New Roman" w:hAnsi="Times New Roman" w:eastAsia="宋体" w:cs="Times New Roman"/>
          <w:sz w:val="24"/>
          <w:highlight w:val="none"/>
        </w:rPr>
        <w:t>被资助者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合作开展研究；</w:t>
      </w:r>
    </w:p>
    <w:p w14:paraId="2614E3A4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2.督促被资助者积极配合实验室实施过程管理，实现预期研究目标。</w:t>
      </w:r>
    </w:p>
    <w:p w14:paraId="62319732">
      <w:pPr>
        <w:spacing w:line="360" w:lineRule="auto"/>
        <w:ind w:firstLine="480"/>
        <w:jc w:val="left"/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</w:pPr>
    </w:p>
    <w:p w14:paraId="738F895D">
      <w:pPr>
        <w:spacing w:line="360" w:lineRule="auto"/>
        <w:ind w:firstLine="480"/>
        <w:jc w:val="center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第三章 申请与评审</w:t>
      </w:r>
    </w:p>
    <w:p w14:paraId="6495B43C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七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实验室根据发展需要和中长期发展规划，定期制订并发布指南，申请者必须按照“指南”要求进行申报</w:t>
      </w:r>
      <w:r>
        <w:rPr>
          <w:rFonts w:ascii="Times New Roman" w:hAnsi="Times New Roman" w:eastAsia="宋体" w:cs="Times New Roman"/>
          <w:sz w:val="24"/>
          <w:highlight w:val="none"/>
        </w:rPr>
        <w:t>，并按照规定的申报要求和受理时间报送申请材料。</w:t>
      </w:r>
    </w:p>
    <w:p w14:paraId="5E3060F3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八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项目申请材料实行形式审查制度。有下列情况之一者，视为形式审查不合格： </w:t>
      </w:r>
    </w:p>
    <w:p w14:paraId="6193D759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（一）项目内容不属于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指南</w:t>
      </w:r>
      <w:r>
        <w:rPr>
          <w:rFonts w:ascii="Times New Roman" w:hAnsi="Times New Roman" w:eastAsia="宋体" w:cs="Times New Roman"/>
          <w:sz w:val="24"/>
          <w:highlight w:val="none"/>
        </w:rPr>
        <w:t>资助范围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；</w:t>
      </w:r>
    </w:p>
    <w:p w14:paraId="01042D7D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（二）</w:t>
      </w:r>
      <w:r>
        <w:rPr>
          <w:rFonts w:ascii="Times New Roman" w:hAnsi="Times New Roman" w:eastAsia="宋体" w:cs="Times New Roman"/>
          <w:sz w:val="24"/>
          <w:highlight w:val="none"/>
        </w:rPr>
        <w:t>申请经费超出计划资助额度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上限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； </w:t>
      </w:r>
    </w:p>
    <w:p w14:paraId="1851B468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三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）申请者不具备规定的申请资格； </w:t>
      </w:r>
    </w:p>
    <w:p w14:paraId="0C565414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（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四</w:t>
      </w:r>
      <w:r>
        <w:rPr>
          <w:rFonts w:ascii="Times New Roman" w:hAnsi="Times New Roman" w:eastAsia="宋体" w:cs="Times New Roman"/>
          <w:sz w:val="24"/>
          <w:highlight w:val="none"/>
        </w:rPr>
        <w:t>）申请手续不完备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；</w:t>
      </w:r>
    </w:p>
    <w:p w14:paraId="70D0D8CA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（五）</w:t>
      </w:r>
      <w:r>
        <w:rPr>
          <w:rFonts w:ascii="Times New Roman" w:hAnsi="Times New Roman" w:eastAsia="宋体" w:cs="Times New Roman"/>
          <w:sz w:val="24"/>
          <w:highlight w:val="none"/>
        </w:rPr>
        <w:t>申报书不符合规定要求。</w:t>
      </w:r>
    </w:p>
    <w:p w14:paraId="60769508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九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实验室根据本年度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课题</w:t>
      </w:r>
      <w:r>
        <w:rPr>
          <w:rFonts w:ascii="Times New Roman" w:hAnsi="Times New Roman" w:eastAsia="宋体" w:cs="Times New Roman"/>
          <w:sz w:val="24"/>
          <w:highlight w:val="none"/>
        </w:rPr>
        <w:t>的申请情况组成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线上评审</w:t>
      </w:r>
      <w:r>
        <w:rPr>
          <w:rFonts w:ascii="Times New Roman" w:hAnsi="Times New Roman" w:eastAsia="宋体" w:cs="Times New Roman"/>
          <w:sz w:val="24"/>
          <w:highlight w:val="none"/>
        </w:rPr>
        <w:t>专家组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及会议评审专家组</w:t>
      </w:r>
      <w:r>
        <w:rPr>
          <w:rFonts w:ascii="Times New Roman" w:hAnsi="Times New Roman" w:eastAsia="宋体" w:cs="Times New Roman"/>
          <w:sz w:val="24"/>
          <w:highlight w:val="none"/>
        </w:rPr>
        <w:t>，组织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开展</w:t>
      </w:r>
      <w:r>
        <w:rPr>
          <w:rFonts w:ascii="Times New Roman" w:hAnsi="Times New Roman" w:eastAsia="宋体" w:cs="Times New Roman"/>
          <w:sz w:val="24"/>
          <w:highlight w:val="none"/>
        </w:rPr>
        <w:t>评审，对申报推荐的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课题</w:t>
      </w:r>
      <w:r>
        <w:rPr>
          <w:rFonts w:ascii="Times New Roman" w:hAnsi="Times New Roman" w:eastAsia="宋体" w:cs="Times New Roman"/>
          <w:sz w:val="24"/>
          <w:highlight w:val="none"/>
        </w:rPr>
        <w:t>进行集中评审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，择优资助。</w:t>
      </w:r>
    </w:p>
    <w:p w14:paraId="40404277">
      <w:pPr>
        <w:spacing w:line="360" w:lineRule="auto"/>
        <w:ind w:firstLine="48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十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评审实行严格的保密制度，参加评审的专家和工作人员严格遵守评审纪律，对评审过程、专家意见及项目内容负有保密责任，不得外传、复制或摘录。</w:t>
      </w:r>
    </w:p>
    <w:p w14:paraId="7C429642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一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评审组专家应以认真负责的科学态度，对被评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课题</w:t>
      </w:r>
      <w:r>
        <w:rPr>
          <w:rFonts w:ascii="Times New Roman" w:hAnsi="Times New Roman" w:eastAsia="宋体" w:cs="Times New Roman"/>
          <w:sz w:val="24"/>
          <w:highlight w:val="none"/>
        </w:rPr>
        <w:t>的科学性、创新性、实用性和可行性做出实事求是的评价，按照评审标准进行赋分，并提出是否推荐立项的建议。</w:t>
      </w:r>
    </w:p>
    <w:p w14:paraId="218B69AD">
      <w:pPr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二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评审专家的聘请条件：</w:t>
      </w:r>
    </w:p>
    <w:p w14:paraId="7C61C386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有较高的学术造诣和学术判断能力，熟悉被评项目及相关研究领域的国内外发展状况；</w:t>
      </w:r>
    </w:p>
    <w:p w14:paraId="4D96D5ED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学风严谨，办事公正，具备评议分析能力；</w:t>
      </w:r>
    </w:p>
    <w:p w14:paraId="2E99D4D1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具有高级专业技术职务，实际从事科学研究工作。</w:t>
      </w:r>
    </w:p>
    <w:p w14:paraId="5E862918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第四章 立项与实施</w:t>
      </w:r>
    </w:p>
    <w:p w14:paraId="5BE36F62">
      <w:pPr>
        <w:spacing w:line="360" w:lineRule="auto"/>
        <w:ind w:left="48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三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实验室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组织会议</w:t>
      </w:r>
      <w:r>
        <w:rPr>
          <w:rFonts w:ascii="Times New Roman" w:hAnsi="Times New Roman" w:eastAsia="宋体" w:cs="Times New Roman"/>
          <w:sz w:val="24"/>
          <w:highlight w:val="none"/>
        </w:rPr>
        <w:t>评审，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确定</w:t>
      </w:r>
      <w:r>
        <w:rPr>
          <w:rFonts w:ascii="Times New Roman" w:hAnsi="Times New Roman" w:eastAsia="宋体" w:cs="Times New Roman"/>
          <w:sz w:val="24"/>
          <w:highlight w:val="none"/>
        </w:rPr>
        <w:t>拟建议名单。</w:t>
      </w:r>
    </w:p>
    <w:p w14:paraId="3F34F17F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实验室发布立项通知，公示期为3个工作日。公示无异议，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拟资助项目负责人与实验室签订《任务书》，经审核同意正式立项。</w:t>
      </w:r>
    </w:p>
    <w:p w14:paraId="6D216861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ascii="Times New Roman" w:hAnsi="Times New Roman" w:eastAsia="宋体" w:cs="Times New Roman"/>
          <w:sz w:val="24"/>
          <w:highlight w:val="none"/>
        </w:rPr>
        <w:t>项目实施过程管理，</w:t>
      </w:r>
      <w:r>
        <w:rPr>
          <w:rFonts w:ascii="Times New Roman" w:hAnsi="Times New Roman" w:eastAsia="宋体" w:cs="Times New Roman"/>
          <w:sz w:val="24"/>
          <w:highlight w:val="none"/>
        </w:rPr>
        <w:t>即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项目负责人</w:t>
      </w:r>
      <w:r>
        <w:rPr>
          <w:rFonts w:ascii="Times New Roman" w:hAnsi="Times New Roman" w:eastAsia="宋体" w:cs="Times New Roman"/>
          <w:sz w:val="24"/>
          <w:highlight w:val="none"/>
        </w:rPr>
        <w:t>应在立项后第一年提交项目年度进展材料，结题时提交项目结题材料。</w:t>
      </w:r>
    </w:p>
    <w:p w14:paraId="3C74C739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六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条</w:t>
      </w:r>
      <w:r>
        <w:rPr>
          <w:rFonts w:ascii="Times New Roman" w:hAnsi="Times New Roman" w:eastAsia="宋体" w:cs="Times New Roman"/>
          <w:sz w:val="24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如果课题无法按期完成或因无法控制原因要求中断的，需向实验</w:t>
      </w:r>
    </w:p>
    <w:p w14:paraId="245FE462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室提交书面报告，并由实验室召开评审会议审议决定。中断课题的经费余额应交还实验室。</w:t>
      </w:r>
    </w:p>
    <w:p w14:paraId="78D07395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七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ascii="Times New Roman" w:hAnsi="Times New Roman" w:eastAsia="宋体" w:cs="Times New Roman"/>
          <w:sz w:val="24"/>
          <w:highlight w:val="none"/>
        </w:rPr>
        <w:t>项目由下列情况之一者，予以撤销：</w:t>
      </w:r>
    </w:p>
    <w:p w14:paraId="03C5C85F">
      <w:pPr>
        <w:numPr>
          <w:ilvl w:val="0"/>
          <w:numId w:val="3"/>
        </w:numPr>
        <w:spacing w:line="360" w:lineRule="auto"/>
        <w:ind w:left="48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违背科学道德，有弄虚作假行为的；</w:t>
      </w:r>
    </w:p>
    <w:p w14:paraId="51098638">
      <w:pPr>
        <w:numPr>
          <w:ilvl w:val="0"/>
          <w:numId w:val="3"/>
        </w:numPr>
        <w:spacing w:line="360" w:lineRule="auto"/>
        <w:ind w:left="48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项目执行不利，第一年度未达到进展要求。</w:t>
      </w:r>
    </w:p>
    <w:p w14:paraId="5E9689E9">
      <w:pPr>
        <w:numPr>
          <w:ilvl w:val="255"/>
          <w:numId w:val="0"/>
        </w:num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八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若</w:t>
      </w:r>
      <w:r>
        <w:rPr>
          <w:rFonts w:ascii="Times New Roman" w:hAnsi="Times New Roman" w:eastAsia="宋体" w:cs="Times New Roman"/>
          <w:sz w:val="24"/>
          <w:highlight w:val="none"/>
        </w:rPr>
        <w:t>项目执行不利，第一年度达到进展要求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，但结题时未达到进展要求，予以延期</w:t>
      </w:r>
      <w:r>
        <w:rPr>
          <w:rFonts w:ascii="Times New Roman" w:hAnsi="Times New Roman" w:eastAsia="宋体" w:cs="Times New Roman"/>
          <w:sz w:val="24"/>
          <w:highlight w:val="none"/>
        </w:rPr>
        <w:t>。</w:t>
      </w:r>
    </w:p>
    <w:p w14:paraId="11E64361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九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ascii="Times New Roman" w:hAnsi="Times New Roman" w:eastAsia="宋体" w:cs="Times New Roman"/>
          <w:sz w:val="24"/>
          <w:highlight w:val="none"/>
        </w:rPr>
        <w:t>项目结题时，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项目负责人</w:t>
      </w:r>
      <w:r>
        <w:rPr>
          <w:rFonts w:ascii="Times New Roman" w:hAnsi="Times New Roman" w:eastAsia="宋体" w:cs="Times New Roman"/>
          <w:sz w:val="24"/>
          <w:highlight w:val="none"/>
        </w:rPr>
        <w:t>须向实验室提交《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开放课题</w:t>
      </w:r>
      <w:r>
        <w:rPr>
          <w:rFonts w:ascii="Times New Roman" w:hAnsi="Times New Roman" w:eastAsia="宋体" w:cs="Times New Roman"/>
          <w:sz w:val="24"/>
          <w:highlight w:val="none"/>
        </w:rPr>
        <w:t>结题报告》，结题报告包含研究总体情况、经费使用情况等内容。</w:t>
      </w:r>
    </w:p>
    <w:p w14:paraId="37C6E6E4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第二十条</w:t>
      </w: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highlight w:val="none"/>
        </w:rPr>
        <w:t>实验室开展评审会议，审核进展材料（结题材料），确定项目是否予以继续支持或撤销（结题）。</w:t>
      </w:r>
    </w:p>
    <w:p w14:paraId="441D906F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二十一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批准后的项目任务书、中期执行报告及结题报告中所取得的研究成果，如鉴定、论文、论著、申请专利、获奖情况等应及时提交实验室存档。</w:t>
      </w:r>
    </w:p>
    <w:p w14:paraId="1C673579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第二十二条</w:t>
      </w:r>
      <w:r>
        <w:rPr>
          <w:rFonts w:hint="eastAsia" w:ascii="Times New Roman" w:hAnsi="Times New Roman" w:eastAsia="宋体" w:cs="Times New Roman"/>
          <w:sz w:val="24"/>
          <w:highlight w:val="none"/>
        </w:rPr>
        <w:t xml:space="preserve"> 实验室资助立项的经费使用范围及划拨方式：</w:t>
      </w:r>
      <w:r>
        <w:rPr>
          <w:rFonts w:hint="eastAsia" w:ascii="Times New Roman" w:hAnsi="Times New Roman" w:eastAsia="宋体" w:cs="Times New Roman"/>
          <w:sz w:val="24"/>
          <w:highlight w:val="none"/>
        </w:rPr>
        <w:cr/>
      </w:r>
      <w:r>
        <w:rPr>
          <w:rFonts w:hint="eastAsia" w:ascii="Times New Roman" w:hAnsi="Times New Roman" w:eastAsia="宋体" w:cs="Times New Roman"/>
          <w:sz w:val="24"/>
          <w:highlight w:val="none"/>
        </w:rPr>
        <w:t>1、与资助课题直接有关的科研费用，包括版面费、专利费、差旅费、材料费、测试费等；</w:t>
      </w:r>
      <w:r>
        <w:rPr>
          <w:rFonts w:hint="eastAsia" w:ascii="Times New Roman" w:hAnsi="Times New Roman" w:eastAsia="宋体" w:cs="Times New Roman"/>
          <w:sz w:val="24"/>
          <w:highlight w:val="none"/>
        </w:rPr>
        <w:cr/>
      </w:r>
      <w:r>
        <w:rPr>
          <w:rFonts w:hint="eastAsia" w:ascii="Times New Roman" w:hAnsi="Times New Roman" w:eastAsia="宋体" w:cs="Times New Roman"/>
          <w:sz w:val="24"/>
          <w:highlight w:val="none"/>
        </w:rPr>
        <w:t>2、管理费（每个课题不得超过5%）。</w:t>
      </w:r>
    </w:p>
    <w:p w14:paraId="52A49670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3、项目经费采用分阶段拨付机制，按照项目实施进度分两次进行划拨：项目立项获批后，即先行拨付50%的经费作为启动资金；在项目中期检查且评审通过后，再进行剩余经费的第二次拨付 。</w:t>
      </w:r>
    </w:p>
    <w:p w14:paraId="3D3AD468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二十三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ascii="Times New Roman" w:hAnsi="Times New Roman" w:eastAsia="宋体" w:cs="Times New Roman"/>
          <w:sz w:val="24"/>
          <w:highlight w:val="none"/>
        </w:rPr>
        <w:t>研究成果的标注与归属</w:t>
      </w:r>
    </w:p>
    <w:p w14:paraId="352D9224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1、论文的署名办法：</w:t>
      </w:r>
    </w:p>
    <w:p w14:paraId="304C36B6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由本实验室资助的课题，论文发表时以本实验室为第一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或第二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署名单位；</w:t>
      </w:r>
    </w:p>
    <w:p w14:paraId="76DBB077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本实验室名称署名格式：</w:t>
      </w:r>
    </w:p>
    <w:p w14:paraId="650DC8F4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计算智能与信号处理教育部重点实验室(安徽大学)</w:t>
      </w:r>
    </w:p>
    <w:p w14:paraId="73F58DB8">
      <w:pPr>
        <w:spacing w:line="360" w:lineRule="auto"/>
        <w:rPr>
          <w:color w:val="262626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Key Laboratory of Intelligent Computing &amp; Signal Processing（Anhui University）, Ministry of Education</w:t>
      </w:r>
    </w:p>
    <w:p w14:paraId="5CE31F11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地址：中国安徽省合肥市经济技术开发区九龙路111号安徽大学磬苑校区</w:t>
      </w:r>
    </w:p>
    <w:p w14:paraId="102BB4A2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邮编: 230601</w:t>
      </w:r>
    </w:p>
    <w:p w14:paraId="36825211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2、成果归属：</w:t>
      </w:r>
    </w:p>
    <w:p w14:paraId="4093381B">
      <w:pPr>
        <w:spacing w:line="360" w:lineRule="auto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由本实验室资助的课题，其研究成果归本实验室所有；</w:t>
      </w:r>
    </w:p>
    <w:p w14:paraId="10722213">
      <w:pPr>
        <w:spacing w:line="360" w:lineRule="auto"/>
        <w:jc w:val="center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研究者自带课题及经费在本实验室完成的课题，其成果归本实验室和研究者所在</w:t>
      </w:r>
    </w:p>
    <w:p w14:paraId="45368F99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单位共有。</w:t>
      </w:r>
    </w:p>
    <w:p w14:paraId="592FA95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第五章 附则</w:t>
      </w:r>
    </w:p>
    <w:p w14:paraId="14803065"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第二十</w:t>
      </w:r>
      <w:r>
        <w:rPr>
          <w:rFonts w:hint="eastAsia" w:ascii="Times New Roman" w:hAnsi="Times New Roman" w:eastAsia="宋体" w:cs="Times New Roman"/>
          <w:b/>
          <w:bCs/>
          <w:sz w:val="24"/>
          <w:highlight w:val="none"/>
        </w:rPr>
        <w:t>四</w:t>
      </w: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 xml:space="preserve">条 </w:t>
      </w:r>
      <w:r>
        <w:rPr>
          <w:rFonts w:ascii="Times New Roman" w:hAnsi="Times New Roman" w:eastAsia="宋体" w:cs="Times New Roman"/>
          <w:sz w:val="24"/>
          <w:highlight w:val="none"/>
        </w:rPr>
        <w:t>本办法由实验室负责解释和修订。</w:t>
      </w:r>
    </w:p>
    <w:p w14:paraId="5093EB4B">
      <w:pPr>
        <w:spacing w:line="360" w:lineRule="auto"/>
        <w:jc w:val="center"/>
        <w:rPr>
          <w:rFonts w:ascii="Times New Roman" w:hAnsi="Times New Roman" w:eastAsia="微软雅黑" w:cs="Times New Roman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9932E"/>
    <w:multiLevelType w:val="singleLevel"/>
    <w:tmpl w:val="D4C9932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2E45D78"/>
    <w:multiLevelType w:val="singleLevel"/>
    <w:tmpl w:val="F2E45D7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5CB1EEF"/>
    <w:multiLevelType w:val="singleLevel"/>
    <w:tmpl w:val="75CB1EEF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34AE0"/>
    <w:rsid w:val="000E31BF"/>
    <w:rsid w:val="00105289"/>
    <w:rsid w:val="00130D70"/>
    <w:rsid w:val="00141B0E"/>
    <w:rsid w:val="00167E41"/>
    <w:rsid w:val="00182EFB"/>
    <w:rsid w:val="001A469D"/>
    <w:rsid w:val="001B38CD"/>
    <w:rsid w:val="001E1B23"/>
    <w:rsid w:val="00202468"/>
    <w:rsid w:val="00266CC5"/>
    <w:rsid w:val="00355538"/>
    <w:rsid w:val="003B1DDA"/>
    <w:rsid w:val="00401109"/>
    <w:rsid w:val="00493E66"/>
    <w:rsid w:val="004C0D97"/>
    <w:rsid w:val="004C3D33"/>
    <w:rsid w:val="004C6DBD"/>
    <w:rsid w:val="004C7E32"/>
    <w:rsid w:val="004E348B"/>
    <w:rsid w:val="00523D9C"/>
    <w:rsid w:val="005A3B33"/>
    <w:rsid w:val="0064643A"/>
    <w:rsid w:val="00663B77"/>
    <w:rsid w:val="00671EF1"/>
    <w:rsid w:val="00741949"/>
    <w:rsid w:val="00741F8B"/>
    <w:rsid w:val="007C1A52"/>
    <w:rsid w:val="00802727"/>
    <w:rsid w:val="00894B12"/>
    <w:rsid w:val="008B2FA4"/>
    <w:rsid w:val="00900CCB"/>
    <w:rsid w:val="00926678"/>
    <w:rsid w:val="009305C0"/>
    <w:rsid w:val="00954607"/>
    <w:rsid w:val="009865D8"/>
    <w:rsid w:val="00A327DB"/>
    <w:rsid w:val="00A81BC8"/>
    <w:rsid w:val="00AE02BA"/>
    <w:rsid w:val="00AE3595"/>
    <w:rsid w:val="00B244B8"/>
    <w:rsid w:val="00B663DA"/>
    <w:rsid w:val="00B76547"/>
    <w:rsid w:val="00B84C9A"/>
    <w:rsid w:val="00BB27F9"/>
    <w:rsid w:val="00BD3AEB"/>
    <w:rsid w:val="00BE50BA"/>
    <w:rsid w:val="00BF1ED9"/>
    <w:rsid w:val="00C2405C"/>
    <w:rsid w:val="00C33FBE"/>
    <w:rsid w:val="00C37E0C"/>
    <w:rsid w:val="00C410CF"/>
    <w:rsid w:val="00C47CBE"/>
    <w:rsid w:val="00C53299"/>
    <w:rsid w:val="00C565E7"/>
    <w:rsid w:val="00C84A67"/>
    <w:rsid w:val="00D17489"/>
    <w:rsid w:val="00D61DF1"/>
    <w:rsid w:val="00DE0B1D"/>
    <w:rsid w:val="00DE3C28"/>
    <w:rsid w:val="00E22741"/>
    <w:rsid w:val="00E260BB"/>
    <w:rsid w:val="00E61058"/>
    <w:rsid w:val="00E632B2"/>
    <w:rsid w:val="00E63E5A"/>
    <w:rsid w:val="00E959FD"/>
    <w:rsid w:val="00F5081E"/>
    <w:rsid w:val="00F71E1F"/>
    <w:rsid w:val="00FB1080"/>
    <w:rsid w:val="00FB34D9"/>
    <w:rsid w:val="038820D2"/>
    <w:rsid w:val="09F34AE0"/>
    <w:rsid w:val="13860D17"/>
    <w:rsid w:val="269243D5"/>
    <w:rsid w:val="31E916C1"/>
    <w:rsid w:val="46F956FF"/>
    <w:rsid w:val="4D451E3E"/>
    <w:rsid w:val="6BCA2D65"/>
    <w:rsid w:val="70D25080"/>
    <w:rsid w:val="758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1965</Words>
  <Characters>2060</Characters>
  <Lines>16</Lines>
  <Paragraphs>4</Paragraphs>
  <TotalTime>36</TotalTime>
  <ScaleCrop>false</ScaleCrop>
  <LinksUpToDate>false</LinksUpToDate>
  <CharactersWithSpaces>2105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2025-04-26T09:23:00Z</dcterms:created>
  <dc:creator>苏延森</dc:creator>
  <cp:lastModifiedBy>苏延森</cp:lastModifiedBy>
  <dcterms:modified xsi:type="dcterms:W3CDTF">2025-05-26T13:33:30Z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F69AD510CA304983A3DFE2BE943093B5_13</vt:lpwstr>
  </property>
  <property fmtid="{D5CDD505-2E9C-101B-9397-08002B2CF9AE}" pid="4" name="KSOTemplateDocerSaveRecord">
    <vt:lpwstr>eyJoZGlkIjoiMzEwNTM5NzYwMDRjMzkwZTVkZjY2ODkwMGIxNGU0OTUiLCJ1c2VySWQiOiIxMTQ2MjM5MDg5In0=</vt:lpwstr>
  </property>
</Properties>
</file>